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-2647940</wp:posOffset>
            </wp:positionH>
            <wp:positionV relativeFrom="paragraph">
              <wp:posOffset>-914388</wp:posOffset>
            </wp:positionV>
            <wp:extent cx="5732145" cy="4373880"/>
            <wp:effectExtent b="0" l="0" r="0" t="0"/>
            <wp:wrapNone/>
            <wp:docPr id="1597007037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-389879</wp:posOffset>
            </wp:positionH>
            <wp:positionV relativeFrom="paragraph">
              <wp:posOffset>-514337</wp:posOffset>
            </wp:positionV>
            <wp:extent cx="3048000" cy="834853"/>
            <wp:effectExtent b="0" l="0" r="0" t="0"/>
            <wp:wrapNone/>
            <wp:docPr id="1597007038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45720</wp:posOffset>
                </wp:positionV>
                <wp:extent cx="4504690" cy="746760"/>
                <wp:effectExtent b="0" l="0" r="0" t="0"/>
                <wp:wrapSquare wrapText="bothSides" distB="45720" distT="45720" distL="114300" distR="114300"/>
                <wp:docPr id="1597007035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131755" y="3444720"/>
                          <a:ext cx="4428490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16c45b"/>
                                <w:sz w:val="60"/>
                                <w:vertAlign w:val="baseline"/>
                              </w:rPr>
                              <w:t xml:space="preserve">PIANO DI LEZIONE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16c45b"/>
                                <w:sz w:val="6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45720</wp:posOffset>
                </wp:positionV>
                <wp:extent cx="4504690" cy="746760"/>
                <wp:effectExtent b="0" l="0" r="0" t="0"/>
                <wp:wrapSquare wrapText="bothSides" distB="45720" distT="45720" distL="114300" distR="114300"/>
                <wp:docPr id="1597007035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04690" cy="7467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419100</wp:posOffset>
                </wp:positionH>
                <wp:positionV relativeFrom="paragraph">
                  <wp:posOffset>45720</wp:posOffset>
                </wp:positionV>
                <wp:extent cx="4762500" cy="1021080"/>
                <wp:effectExtent b="0" l="0" r="0" t="0"/>
                <wp:wrapSquare wrapText="bothSides" distB="45720" distT="45720" distL="114300" distR="114300"/>
                <wp:docPr id="1597007036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3002850" y="3307560"/>
                          <a:ext cx="4686300" cy="94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1d1d1b"/>
                                <w:sz w:val="36"/>
                                <w:vertAlign w:val="baseline"/>
                              </w:rPr>
                              <w:t xml:space="preserve">WP3: Formazione del personale decente per una didattica dell’informatica autentica e inclusiva in termini di genere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1d1d1b"/>
                                <w:sz w:val="22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419100</wp:posOffset>
                </wp:positionH>
                <wp:positionV relativeFrom="paragraph">
                  <wp:posOffset>45720</wp:posOffset>
                </wp:positionV>
                <wp:extent cx="4762500" cy="1021080"/>
                <wp:effectExtent b="0" l="0" r="0" t="0"/>
                <wp:wrapSquare wrapText="bothSides" distB="45720" distT="45720" distL="114300" distR="114300"/>
                <wp:docPr id="1597007036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2500" cy="10210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866140</wp:posOffset>
            </wp:positionH>
            <wp:positionV relativeFrom="paragraph">
              <wp:posOffset>187325</wp:posOffset>
            </wp:positionV>
            <wp:extent cx="4000500" cy="1409700"/>
            <wp:effectExtent b="0" l="0" r="0" t="0"/>
            <wp:wrapNone/>
            <wp:docPr id="1597007039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097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D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52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1555"/>
        <w:gridCol w:w="7512"/>
        <w:tblGridChange w:id="0">
          <w:tblGrid>
            <w:gridCol w:w="1555"/>
            <w:gridCol w:w="7512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F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INFORMAZIONI GENERALI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Modulo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Modulo 5: Valutazione dei metodi di insegnamento e di apprendimento nelle lezioni di informatica della scuola primaria </w:t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Unità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5.3: Misurare l’impatto dell’apprendimento autentico in classe </w:t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Gruppo target</w:t>
            </w:r>
          </w:p>
        </w:tc>
        <w:tc>
          <w:tcPr/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Insegnanti della scuola primaria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Durata</w:t>
            </w:r>
          </w:p>
        </w:tc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30 minuti (incluso il tempo dedicato allo studio autonomo)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Prerequisiti</w:t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Concetti legati all’apprendimento autentico e inclusivo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ECTS</w:t>
            </w:r>
          </w:p>
        </w:tc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0,02</w:t>
            </w:r>
          </w:p>
        </w:tc>
      </w:tr>
    </w:tbl>
    <w:p w:rsidR="00000000" w:rsidDel="00000000" w:rsidP="00000000" w:rsidRDefault="00000000" w:rsidRPr="00000000" w14:paraId="0000001D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421"/>
        <w:gridCol w:w="8646"/>
        <w:tblGridChange w:id="0">
          <w:tblGrid>
            <w:gridCol w:w="421"/>
            <w:gridCol w:w="8646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E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RISULTATI DI APPRENDIMENTO</w:t>
            </w:r>
          </w:p>
        </w:tc>
      </w:tr>
      <w:tr>
        <w:trPr>
          <w:cantSplit w:val="0"/>
          <w:trHeight w:val="580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Analizzare i casi studio che sottolineano l’impatto dell’apprendimento autentico sui risultati di apprendimento delle e degli studenti </w:t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Sviluppare una riflessione sul ricorso all’apprendimento autentico, condividendo esempi di attività efficaci e non con le proprie colleghe e i propri colleghi</w:t>
            </w:r>
          </w:p>
        </w:tc>
      </w:tr>
    </w:tbl>
    <w:p w:rsidR="00000000" w:rsidDel="00000000" w:rsidP="00000000" w:rsidRDefault="00000000" w:rsidRPr="00000000" w14:paraId="00000024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3"/>
        <w:tblpPr w:leftFromText="180" w:rightFromText="180" w:topFromText="0" w:bottomFromText="0" w:vertAnchor="text" w:horzAnchor="text" w:tblpX="0" w:tblpY="224"/>
        <w:tblW w:w="9088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562"/>
        <w:gridCol w:w="3969"/>
        <w:gridCol w:w="567"/>
        <w:gridCol w:w="3973"/>
        <w:gridCol w:w="17"/>
        <w:tblGridChange w:id="0">
          <w:tblGrid>
            <w:gridCol w:w="562"/>
            <w:gridCol w:w="3969"/>
            <w:gridCol w:w="567"/>
            <w:gridCol w:w="3973"/>
            <w:gridCol w:w="17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26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METODI DI INSEGNAMENTO</w:t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i w:val="1"/>
                <w:rtl w:val="0"/>
              </w:rPr>
              <w:t xml:space="preserve">Learning by doing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tra pari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basato su progetti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pratico</w:t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Strategie di apprendimento attivo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collaborativo</w:t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ibrido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4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MATERIALE DIDATTICO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3E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Occorrente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Diapositive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Modello </w:t>
            </w:r>
            <w:r w:rsidDel="00000000" w:rsidR="00000000" w:rsidRPr="00000000">
              <w:rPr>
                <w:color w:val="1155cc"/>
                <w:u w:val="single"/>
                <w:rtl w:val="0"/>
              </w:rPr>
              <w:t xml:space="preserve">Scenario 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Modello </w:t>
            </w:r>
            <w:r w:rsidDel="00000000" w:rsidR="00000000" w:rsidRPr="00000000">
              <w:rPr>
                <w:color w:val="1155cc"/>
                <w:u w:val="single"/>
                <w:rtl w:val="0"/>
              </w:rPr>
              <w:t xml:space="preserve">Scenario B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  <w:t xml:space="preserve">Risorse aggiuntive</w:t>
            </w:r>
          </w:p>
        </w:tc>
        <w:tc>
          <w:tcPr/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  <w:t xml:space="preserve">/</w:t>
            </w:r>
          </w:p>
        </w:tc>
      </w:tr>
    </w:tbl>
    <w:p w:rsidR="00000000" w:rsidDel="00000000" w:rsidP="00000000" w:rsidRDefault="00000000" w:rsidRPr="00000000" w14:paraId="00000044">
      <w:pPr>
        <w:tabs>
          <w:tab w:val="left" w:leader="none" w:pos="1620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5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CONTENUTI DELL’UNITÀ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  <w:t xml:space="preserve">Introduzione</w:t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after="200" w:lineRule="auto"/>
              <w:rPr/>
            </w:pPr>
            <w:r w:rsidDel="00000000" w:rsidR="00000000" w:rsidRPr="00000000">
              <w:rPr>
                <w:rtl w:val="0"/>
              </w:rPr>
              <w:t xml:space="preserve">L’apprendimento autentico, che aiuta le e gli studenti ad entrare in contatto con problemi reali, punti di vista diversi e a collaborare, costituisce un elemento chiave del quadro di riferimento di TINKER. La sessione prende in esame e analizza </w:t>
            </w:r>
            <w:r w:rsidDel="00000000" w:rsidR="00000000" w:rsidRPr="00000000">
              <w:rPr>
                <w:b w:val="1"/>
                <w:rtl w:val="0"/>
              </w:rPr>
              <w:t xml:space="preserve">due scenari </w:t>
            </w:r>
            <w:r w:rsidDel="00000000" w:rsidR="00000000" w:rsidRPr="00000000">
              <w:rPr>
                <w:rtl w:val="0"/>
              </w:rPr>
              <w:t xml:space="preserve">che mirano a illustrare il potere dell’apprendimento autentico e ciò che, invece, può inficiarne l’impatto, attraverso un processo di analisi e discussione. </w:t>
            </w:r>
          </w:p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  <w:t xml:space="preserve">Saranno, inoltre, presentati degli </w:t>
            </w:r>
            <w:r w:rsidDel="00000000" w:rsidR="00000000" w:rsidRPr="00000000">
              <w:rPr>
                <w:b w:val="1"/>
                <w:rtl w:val="0"/>
              </w:rPr>
              <w:t xml:space="preserve">strumenti quantitativi e qualitativi </w:t>
            </w:r>
            <w:r w:rsidDel="00000000" w:rsidR="00000000" w:rsidRPr="00000000">
              <w:rPr>
                <w:rtl w:val="0"/>
              </w:rPr>
              <w:t xml:space="preserve">che aiutano a carpire e in maniera più efficace il grado di coinvolgimento delle e degli studenti, andando al di là di parametri come i voti o le presenze. Questi strumenti consentono di vedere ciò che le e gli studenti pensano e sentono nel corso del processo di apprendimento. </w:t>
            </w:r>
          </w:p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  <w:t xml:space="preserve">Tutto questo si basa sul lavoro svolto in precedenza sugli </w:t>
            </w:r>
            <w:r w:rsidDel="00000000" w:rsidR="00000000" w:rsidRPr="00000000">
              <w:rPr>
                <w:b w:val="1"/>
                <w:rtl w:val="0"/>
              </w:rPr>
              <w:t xml:space="preserve">strumenti di valutazione dell’attività didattica.</w:t>
            </w:r>
            <w:r w:rsidDel="00000000" w:rsidR="00000000" w:rsidRPr="00000000">
              <w:rPr>
                <w:rtl w:val="0"/>
              </w:rPr>
              <w:t xml:space="preserve">  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  <w:t xml:space="preserve">Attività</w:t>
            </w:r>
          </w:p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4F">
            <w:pPr>
              <w:pStyle w:val="Heading3"/>
              <w:spacing w:after="80" w:before="280" w:lineRule="auto"/>
              <w:rPr>
                <w:i w:val="0"/>
                <w:u w:val="single"/>
              </w:rPr>
            </w:pPr>
            <w:bookmarkStart w:colFirst="0" w:colLast="0" w:name="_heading=h.wf3ug9ju0s3g" w:id="0"/>
            <w:bookmarkEnd w:id="0"/>
            <w:r w:rsidDel="00000000" w:rsidR="00000000" w:rsidRPr="00000000">
              <w:rPr>
                <w:i w:val="0"/>
                <w:u w:val="single"/>
                <w:rtl w:val="0"/>
              </w:rPr>
              <w:t xml:space="preserve">1. Presentazione e saluti (2 minuti)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2"/>
              </w:numPr>
              <w:spacing w:before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Saluta le e i partecipanti e di’ loro: “Questa lezione è incentrata sulla valutazione dell’</w:t>
            </w:r>
            <w:r w:rsidDel="00000000" w:rsidR="00000000" w:rsidRPr="00000000">
              <w:rPr>
                <w:b w:val="1"/>
                <w:rtl w:val="0"/>
              </w:rPr>
              <w:t xml:space="preserve">impatto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dell’apprendimento autentico</w:t>
            </w:r>
            <w:r w:rsidDel="00000000" w:rsidR="00000000" w:rsidRPr="00000000">
              <w:rPr>
                <w:rtl w:val="0"/>
              </w:rPr>
              <w:t xml:space="preserve">, in particolare sul </w:t>
            </w:r>
            <w:r w:rsidDel="00000000" w:rsidR="00000000" w:rsidRPr="00000000">
              <w:rPr>
                <w:b w:val="1"/>
                <w:rtl w:val="0"/>
              </w:rPr>
              <w:t xml:space="preserve">coinvolgimento</w:t>
            </w:r>
            <w:r w:rsidDel="00000000" w:rsidR="00000000" w:rsidRPr="00000000">
              <w:rPr>
                <w:rtl w:val="0"/>
              </w:rPr>
              <w:t xml:space="preserve"> e sui </w:t>
            </w:r>
            <w:r w:rsidDel="00000000" w:rsidR="00000000" w:rsidRPr="00000000">
              <w:rPr>
                <w:b w:val="1"/>
                <w:rtl w:val="0"/>
              </w:rPr>
              <w:t xml:space="preserve">risultati di apprendimento</w:t>
            </w:r>
            <w:r w:rsidDel="00000000" w:rsidR="00000000" w:rsidRPr="00000000">
              <w:rPr>
                <w:rtl w:val="0"/>
              </w:rPr>
              <w:t xml:space="preserve"> delle e degli studenti mediante l’analisi di due scenari.”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2"/>
              </w:numPr>
              <w:spacing w:after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Domanda introduttiva: “Pensate a una lezione che avete tenuto di recente in cui le e gli studenti vi sono parsi particolarmente coinvolti – da cosa avete dedotto il loro coinvolgimento? Che cosa avete visto, udito o sentito?” Raccogli 2-3 risposte.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pStyle w:val="Heading3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80" w:before="280" w:lineRule="auto"/>
              <w:rPr>
                <w:i w:val="0"/>
              </w:rPr>
            </w:pPr>
            <w:bookmarkStart w:colFirst="0" w:colLast="0" w:name="_heading=h.vpqn7ezgbcxz" w:id="1"/>
            <w:bookmarkEnd w:id="1"/>
            <w:r w:rsidDel="00000000" w:rsidR="00000000" w:rsidRPr="00000000">
              <w:rPr>
                <w:i w:val="0"/>
                <w:u w:val="single"/>
                <w:rtl w:val="0"/>
              </w:rPr>
              <w:t xml:space="preserve">2. Attività di gruppo sullo scenario (25 minuti)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3"/>
              </w:numPr>
              <w:spacing w:after="240" w:before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Distribuisci lo </w:t>
            </w:r>
            <w:hyperlink r:id="rId11">
              <w:r w:rsidDel="00000000" w:rsidR="00000000" w:rsidRPr="00000000">
                <w:rPr>
                  <w:b w:val="1"/>
                  <w:color w:val="1155cc"/>
                  <w:u w:val="single"/>
                  <w:rtl w:val="0"/>
                </w:rPr>
                <w:t xml:space="preserve">scenario A</w:t>
              </w:r>
            </w:hyperlink>
            <w:r w:rsidDel="00000000" w:rsidR="00000000" w:rsidRPr="00000000">
              <w:rPr>
                <w:rtl w:val="0"/>
              </w:rPr>
              <w:t xml:space="preserve"> e lo </w:t>
            </w:r>
            <w:hyperlink r:id="rId12">
              <w:r w:rsidDel="00000000" w:rsidR="00000000" w:rsidRPr="00000000">
                <w:rPr>
                  <w:b w:val="1"/>
                  <w:color w:val="1155cc"/>
                  <w:u w:val="single"/>
                  <w:rtl w:val="0"/>
                </w:rPr>
                <w:t xml:space="preserve">scenario B</w:t>
              </w:r>
            </w:hyperlink>
            <w:hyperlink r:id="rId1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 </w:t>
              </w:r>
            </w:hyperlink>
            <w:r w:rsidDel="00000000" w:rsidR="00000000" w:rsidRPr="00000000">
              <w:rPr>
                <w:rtl w:val="0"/>
              </w:rPr>
              <w:t xml:space="preserve">ai gruppi (composti da 2-3 partecipanti). Ciascun gruppo dovrà lavorare prima sullo scenario A e poi su quello B. Le e i partecipanti dovranno:</w:t>
            </w:r>
          </w:p>
          <w:p w:rsidR="00000000" w:rsidDel="00000000" w:rsidP="00000000" w:rsidRDefault="00000000" w:rsidRPr="00000000" w14:paraId="00000059">
            <w:pPr>
              <w:numPr>
                <w:ilvl w:val="1"/>
                <w:numId w:val="3"/>
              </w:numPr>
              <w:spacing w:before="240" w:lineRule="auto"/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individuare almeno </w:t>
            </w:r>
            <w:r w:rsidDel="00000000" w:rsidR="00000000" w:rsidRPr="00000000">
              <w:rPr>
                <w:b w:val="1"/>
                <w:rtl w:val="0"/>
              </w:rPr>
              <w:t xml:space="preserve">4 opportunità mancate o sfide </w:t>
            </w:r>
            <w:r w:rsidDel="00000000" w:rsidR="00000000" w:rsidRPr="00000000">
              <w:rPr>
                <w:rtl w:val="0"/>
              </w:rPr>
              <w:t xml:space="preserve">che limitano il processo di apprendimento, l’inclusione o il coinvolgimento delle e degli studenti;</w:t>
            </w:r>
          </w:p>
          <w:p w:rsidR="00000000" w:rsidDel="00000000" w:rsidP="00000000" w:rsidRDefault="00000000" w:rsidRPr="00000000" w14:paraId="0000005A">
            <w:pPr>
              <w:numPr>
                <w:ilvl w:val="1"/>
                <w:numId w:val="3"/>
              </w:numPr>
              <w:spacing w:before="240" w:lineRule="auto"/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collegare</w:t>
            </w:r>
            <w:r w:rsidDel="00000000" w:rsidR="00000000" w:rsidRPr="00000000">
              <w:rPr>
                <w:rtl w:val="0"/>
              </w:rPr>
              <w:t xml:space="preserve"> ciascun problema a un </w:t>
            </w:r>
            <w:r w:rsidDel="00000000" w:rsidR="00000000" w:rsidRPr="00000000">
              <w:rPr>
                <w:b w:val="1"/>
                <w:rtl w:val="0"/>
              </w:rPr>
              <w:t xml:space="preserve">principio dell’apprendimento autentico o della didattica inclusiva</w:t>
            </w:r>
            <w:r w:rsidDel="00000000" w:rsidR="00000000" w:rsidRPr="00000000">
              <w:rPr>
                <w:rtl w:val="0"/>
              </w:rPr>
              <w:t xml:space="preserve"> in termini di genere, a partire dal quadro di riferimento di TINKER; 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numPr>
                <w:ilvl w:val="1"/>
                <w:numId w:val="3"/>
              </w:numPr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proporre almeno </w:t>
            </w:r>
            <w:r w:rsidDel="00000000" w:rsidR="00000000" w:rsidRPr="00000000">
              <w:rPr>
                <w:b w:val="1"/>
                <w:rtl w:val="0"/>
              </w:rPr>
              <w:t xml:space="preserve">3 strategie </w:t>
            </w:r>
            <w:r w:rsidDel="00000000" w:rsidR="00000000" w:rsidRPr="00000000">
              <w:rPr>
                <w:rtl w:val="0"/>
              </w:rPr>
              <w:t xml:space="preserve">che potrebbero </w:t>
            </w:r>
            <w:r w:rsidDel="00000000" w:rsidR="00000000" w:rsidRPr="00000000">
              <w:rPr>
                <w:b w:val="1"/>
                <w:rtl w:val="0"/>
              </w:rPr>
              <w:t xml:space="preserve">migliorare la lezione </w:t>
            </w:r>
            <w:r w:rsidDel="00000000" w:rsidR="00000000" w:rsidRPr="00000000">
              <w:rPr>
                <w:rtl w:val="0"/>
              </w:rPr>
              <w:t xml:space="preserve">utilizzando il quadro di riferimento di TINKER (richiami al mondo reale, punto di vista delle e degli studenti, </w:t>
            </w:r>
            <w:r w:rsidDel="00000000" w:rsidR="00000000" w:rsidRPr="00000000">
              <w:rPr>
                <w:i w:val="1"/>
                <w:rtl w:val="0"/>
              </w:rPr>
              <w:t xml:space="preserve">scaffolding, </w:t>
            </w:r>
            <w:r w:rsidDel="00000000" w:rsidR="00000000" w:rsidRPr="00000000">
              <w:rPr>
                <w:rtl w:val="0"/>
              </w:rPr>
              <w:t xml:space="preserve">strumenti di valutazione); </w:t>
            </w:r>
          </w:p>
          <w:p w:rsidR="00000000" w:rsidDel="00000000" w:rsidP="00000000" w:rsidRDefault="00000000" w:rsidRPr="00000000" w14:paraId="0000005C">
            <w:pPr>
              <w:numPr>
                <w:ilvl w:val="1"/>
                <w:numId w:val="3"/>
              </w:numPr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elaborare delle strategie volte a </w:t>
            </w:r>
            <w:r w:rsidDel="00000000" w:rsidR="00000000" w:rsidRPr="00000000">
              <w:rPr>
                <w:b w:val="1"/>
                <w:rtl w:val="0"/>
              </w:rPr>
              <w:t xml:space="preserve">misurare </w:t>
            </w:r>
            <w:r w:rsidDel="00000000" w:rsidR="00000000" w:rsidRPr="00000000">
              <w:rPr>
                <w:rtl w:val="0"/>
              </w:rPr>
              <w:t xml:space="preserve">il grado di coinvolgimento delle e degli studenti nel corso dell’attività.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pStyle w:val="Heading3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80" w:before="280" w:lineRule="auto"/>
              <w:rPr>
                <w:i w:val="0"/>
                <w:u w:val="single"/>
              </w:rPr>
            </w:pPr>
            <w:bookmarkStart w:colFirst="0" w:colLast="0" w:name="_heading=h.dlqbzenq38a8" w:id="2"/>
            <w:bookmarkEnd w:id="2"/>
            <w:r w:rsidDel="00000000" w:rsidR="00000000" w:rsidRPr="00000000">
              <w:rPr>
                <w:i w:val="0"/>
                <w:u w:val="single"/>
                <w:rtl w:val="0"/>
              </w:rPr>
              <w:t xml:space="preserve">3. Riflessioni e conclusioni (3 minuti)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3"/>
              </w:numPr>
              <w:spacing w:after="240" w:before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Ecco alcuni</w:t>
            </w:r>
            <w:r w:rsidDel="00000000" w:rsidR="00000000" w:rsidRPr="00000000">
              <w:rPr>
                <w:b w:val="1"/>
                <w:rtl w:val="0"/>
              </w:rPr>
              <w:t xml:space="preserve"> spunti di riflessione</w:t>
            </w:r>
            <w:r w:rsidDel="00000000" w:rsidR="00000000" w:rsidRPr="00000000">
              <w:rPr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60">
            <w:pPr>
              <w:numPr>
                <w:ilvl w:val="1"/>
                <w:numId w:val="3"/>
              </w:numPr>
              <w:spacing w:after="240" w:before="240" w:lineRule="auto"/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“Quali sono gli insegnamenti che avete tratto alla luce dell’analisi dei due scenari?”</w:t>
            </w:r>
          </w:p>
          <w:p w:rsidR="00000000" w:rsidDel="00000000" w:rsidP="00000000" w:rsidRDefault="00000000" w:rsidRPr="00000000" w14:paraId="00000061">
            <w:pPr>
              <w:numPr>
                <w:ilvl w:val="1"/>
                <w:numId w:val="3"/>
              </w:numPr>
              <w:spacing w:after="240" w:before="240" w:lineRule="auto"/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“Quali strumenti o strategie presentate nel corso della lezione di oggi porterete con voi?”</w:t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rtl w:val="0"/>
              </w:rPr>
              <w:t xml:space="preserve">Valutazione </w:t>
            </w:r>
          </w:p>
        </w:tc>
        <w:tc>
          <w:tcPr/>
          <w:p w:rsidR="00000000" w:rsidDel="00000000" w:rsidP="00000000" w:rsidRDefault="00000000" w:rsidRPr="00000000" w14:paraId="00000063">
            <w:pPr>
              <w:pStyle w:val="Heading3"/>
              <w:spacing w:after="80" w:before="280" w:lineRule="auto"/>
              <w:rPr>
                <w:i w:val="0"/>
                <w:sz w:val="24"/>
                <w:szCs w:val="24"/>
              </w:rPr>
            </w:pPr>
            <w:bookmarkStart w:colFirst="0" w:colLast="0" w:name="_heading=h.mnj8qu4ovgx6" w:id="3"/>
            <w:bookmarkEnd w:id="3"/>
            <w:r w:rsidDel="00000000" w:rsidR="00000000" w:rsidRPr="00000000">
              <w:rPr>
                <w:i w:val="0"/>
                <w:sz w:val="24"/>
                <w:szCs w:val="24"/>
                <w:rtl w:val="0"/>
              </w:rPr>
              <w:t xml:space="preserve">Valutazione formativa (nel corso della lezione)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1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L’intera lezione costituisce una sorta di valutazione pratica dei contenuti delle prime due sessioni. Le e gli insegnanti sono incoraggiati ad analizzare in maniera critica e a condividere le proprie opinioni su come migliorare gli scenari A e B – sulla base delle conoscenze acquisite nel corso delle lezioni precedenti o delle loro esperienze di apprendimento. </w:t>
            </w:r>
          </w:p>
        </w:tc>
      </w:tr>
    </w:tbl>
    <w:p w:rsidR="00000000" w:rsidDel="00000000" w:rsidP="00000000" w:rsidRDefault="00000000" w:rsidRPr="00000000" w14:paraId="00000065">
      <w:pPr>
        <w:tabs>
          <w:tab w:val="left" w:leader="none" w:pos="1620"/>
        </w:tabs>
        <w:rPr/>
      </w:pPr>
      <w:r w:rsidDel="00000000" w:rsidR="00000000" w:rsidRPr="00000000">
        <w:rPr>
          <w:rtl w:val="0"/>
        </w:rPr>
      </w:r>
    </w:p>
    <w:tbl>
      <w:tblPr>
        <w:tblStyle w:val="Table6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66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INSEGNAMENTI CHIAVE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68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Riflessioni e conclusione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bookmarkStart w:colFirst="0" w:colLast="0" w:name="_heading=h.pai3zvvo4qax" w:id="4"/>
            <w:bookmarkEnd w:id="4"/>
            <w:r w:rsidDel="00000000" w:rsidR="00000000" w:rsidRPr="00000000">
              <w:rPr>
                <w:rtl w:val="0"/>
              </w:rPr>
              <w:t xml:space="preserve">Questa lezione ha un carattere puramente pratico ed è incentrata su due esempi di lezioni di informatica che non sfruttano appieno le potenzialità dell’apprendimento autentico e inclusivo. Gli scenari presentano l’opportunità di riconoscere e applicare concetti introdotti in questo modulo e nelle lezioni precedenti. Sono progettati per incoraggiare le e gli insegnanti a prendere in considerazione la possibilità di utilizzare gli strumenti presentati nel corso delle lezioni.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6A">
            <w:pPr>
              <w:rPr/>
            </w:pPr>
            <w:r w:rsidDel="00000000" w:rsidR="00000000" w:rsidRPr="00000000">
              <w:rPr>
                <w:rtl w:val="0"/>
              </w:rPr>
              <w:t xml:space="preserve">Compiti aggiuntivi</w:t>
            </w:r>
          </w:p>
        </w:tc>
        <w:tc>
          <w:tcPr/>
          <w:p w:rsidR="00000000" w:rsidDel="00000000" w:rsidP="00000000" w:rsidRDefault="00000000" w:rsidRPr="00000000" w14:paraId="0000006B">
            <w:pPr>
              <w:rPr/>
            </w:pPr>
            <w:r w:rsidDel="00000000" w:rsidR="00000000" w:rsidRPr="00000000">
              <w:rPr>
                <w:rtl w:val="0"/>
              </w:rPr>
              <w:t xml:space="preserve">/</w:t>
            </w:r>
          </w:p>
        </w:tc>
      </w:tr>
    </w:tbl>
    <w:p w:rsidR="00000000" w:rsidDel="00000000" w:rsidP="00000000" w:rsidRDefault="00000000" w:rsidRPr="00000000" w14:paraId="0000006C">
      <w:pPr>
        <w:rPr>
          <w:i w:val="1"/>
        </w:rPr>
      </w:pPr>
      <w:r w:rsidDel="00000000" w:rsidR="00000000" w:rsidRPr="00000000">
        <w:rPr>
          <w:rtl w:val="0"/>
        </w:rPr>
      </w:r>
    </w:p>
    <w:sectPr>
      <w:headerReference r:id="rId14" w:type="default"/>
      <w:footerReference r:id="rId15" w:type="default"/>
      <w:pgSz w:h="16839" w:w="11907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1d1d1b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787400</wp:posOffset>
              </wp:positionH>
              <wp:positionV relativeFrom="paragraph">
                <wp:posOffset>50800</wp:posOffset>
              </wp:positionV>
              <wp:extent cx="5481320" cy="733425"/>
              <wp:effectExtent b="0" l="0" r="0" t="0"/>
              <wp:wrapNone/>
              <wp:docPr id="1597007034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2652965" y="3460913"/>
                        <a:ext cx="538607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d1d1b"/>
                              <w:sz w:val="16"/>
                              <w:vertAlign w:val="baseline"/>
                            </w:rPr>
                            <w:t xml:space="preserve">Finanziato dall'Unione europea. Le opinioni espresse appartengono, tuttavia, al solo o ai soli autori e non riflettono necessariamente le opinioni dell'Unione europea o dell’Agenzia esecutiva europea per l’istruzione e la cultura (EACEA). Né l'Unione europea né l'EACEA possono esserne ritenute responsabili. Convenzione di sovvenzione n.101132887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d1d1b"/>
                              <w:sz w:val="2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787400</wp:posOffset>
              </wp:positionH>
              <wp:positionV relativeFrom="paragraph">
                <wp:posOffset>50800</wp:posOffset>
              </wp:positionV>
              <wp:extent cx="5481320" cy="733425"/>
              <wp:effectExtent b="0" l="0" r="0" t="0"/>
              <wp:wrapNone/>
              <wp:docPr id="1597007034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81320" cy="7334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-645783</wp:posOffset>
          </wp:positionH>
          <wp:positionV relativeFrom="paragraph">
            <wp:posOffset>144780</wp:posOffset>
          </wp:positionV>
          <wp:extent cx="1311570" cy="506095"/>
          <wp:effectExtent b="0" l="0" r="0" t="0"/>
          <wp:wrapNone/>
          <wp:docPr id="1597007040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11570" cy="50609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6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1d1d1b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jc w:val="right"/>
      <w:rPr>
        <w:b w:val="1"/>
        <w:color w:val="16c45b"/>
      </w:rPr>
    </w:pPr>
    <w:r w:rsidDel="00000000" w:rsidR="00000000" w:rsidRPr="00000000">
      <w:rPr>
        <w:b w:val="1"/>
        <w:color w:val="16c45b"/>
        <w:rtl w:val="0"/>
      </w:rPr>
      <w:t xml:space="preserve">https://tinker-project.eu/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color w:val="1d1d1b"/>
        <w:sz w:val="22"/>
        <w:szCs w:val="22"/>
        <w:lang w:val="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/>
    <w:rPr>
      <w:b w:val="1"/>
      <w:color w:val="16c45b"/>
      <w:sz w:val="36"/>
      <w:szCs w:val="36"/>
    </w:rPr>
  </w:style>
  <w:style w:type="paragraph" w:styleId="Heading2">
    <w:name w:val="heading 2"/>
    <w:basedOn w:val="Normal"/>
    <w:next w:val="Normal"/>
    <w:pPr/>
    <w:rPr>
      <w:b w:val="1"/>
      <w:color w:val="16c45b"/>
      <w:sz w:val="28"/>
      <w:szCs w:val="28"/>
    </w:rPr>
  </w:style>
  <w:style w:type="paragraph" w:styleId="Heading3">
    <w:name w:val="heading 3"/>
    <w:basedOn w:val="Normal"/>
    <w:next w:val="Normal"/>
    <w:pPr/>
    <w:rPr>
      <w:b w:val="1"/>
      <w:i w:val="1"/>
      <w:color w:val="1d1d1b"/>
      <w:sz w:val="26"/>
      <w:szCs w:val="26"/>
    </w:rPr>
  </w:style>
  <w:style w:type="paragraph" w:styleId="Heading4">
    <w:name w:val="heading 4"/>
    <w:basedOn w:val="Normal"/>
    <w:next w:val="Normal"/>
    <w:pPr/>
    <w:rPr>
      <w:b w:val="1"/>
      <w:i w:val="1"/>
      <w:color w:val="2b454e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40" w:lineRule="auto"/>
    </w:pPr>
    <w:rPr>
      <w:color w:val="16c45b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color w:val="0a612d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 w:val="1"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0E72EE"/>
  </w:style>
  <w:style w:type="paragraph" w:styleId="Pidipagina">
    <w:name w:val="footer"/>
    <w:basedOn w:val="Normale"/>
    <w:link w:val="PidipaginaCarattere"/>
    <w:uiPriority w:val="99"/>
    <w:unhideWhenUsed w:val="1"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0E72EE"/>
  </w:style>
  <w:style w:type="character" w:styleId="Titolo1Carattere" w:customStyle="1">
    <w:name w:val="Titolo 1 Carattere"/>
    <w:basedOn w:val="Carpredefinitoparagrafo"/>
    <w:link w:val="Titolo1"/>
    <w:uiPriority w:val="9"/>
    <w:rsid w:val="001C523D"/>
    <w:rPr>
      <w:rFonts w:ascii="Calibri" w:hAnsi="Calibri"/>
      <w:b w:val="1"/>
      <w:color w:val="16c45b" w:themeColor="accent6"/>
      <w:sz w:val="36"/>
      <w:szCs w:val="36"/>
    </w:rPr>
  </w:style>
  <w:style w:type="character" w:styleId="Titolo2Carattere" w:customStyle="1">
    <w:name w:val="Titolo 2 Carattere"/>
    <w:basedOn w:val="Carpredefinitoparagrafo"/>
    <w:link w:val="Titolo2"/>
    <w:uiPriority w:val="9"/>
    <w:rsid w:val="00986B82"/>
    <w:rPr>
      <w:rFonts w:ascii="Calibri" w:hAnsi="Calibri"/>
      <w:b w:val="1"/>
      <w:color w:val="16c45b" w:themeColor="accent3"/>
      <w:sz w:val="28"/>
      <w:szCs w:val="32"/>
    </w:rPr>
  </w:style>
  <w:style w:type="character" w:styleId="Titolo3Carattere" w:customStyle="1">
    <w:name w:val="Titolo 3 Carattere"/>
    <w:basedOn w:val="Carpredefinitoparagrafo"/>
    <w:link w:val="Titolo3"/>
    <w:uiPriority w:val="9"/>
    <w:rsid w:val="00986B82"/>
    <w:rPr>
      <w:rFonts w:ascii="Calibri" w:hAnsi="Calibri"/>
      <w:b w:val="1"/>
      <w:i w:val="1"/>
      <w:color w:val="1d1d1b" w:themeColor="accent2"/>
      <w:sz w:val="26"/>
      <w:szCs w:val="28"/>
    </w:rPr>
  </w:style>
  <w:style w:type="character" w:styleId="Titolo4Carattere" w:customStyle="1">
    <w:name w:val="Titolo 4 Carattere"/>
    <w:basedOn w:val="Carpredefinitoparagrafo"/>
    <w:link w:val="Titolo4"/>
    <w:uiPriority w:val="9"/>
    <w:rsid w:val="00986B82"/>
    <w:rPr>
      <w:rFonts w:ascii="Calibri" w:hAnsi="Calibri"/>
      <w:b w:val="1"/>
      <w:i w:val="1"/>
      <w:color w:val="2b454e" w:themeColor="accent4"/>
      <w:sz w:val="24"/>
      <w:szCs w:val="28"/>
    </w:rPr>
  </w:style>
  <w:style w:type="paragraph" w:styleId="Paragrafoelenco">
    <w:name w:val="List Paragraph"/>
    <w:basedOn w:val="Normale"/>
    <w:uiPriority w:val="34"/>
    <w:qFormat w:val="1"/>
    <w:rsid w:val="00B22564"/>
    <w:pPr>
      <w:ind w:left="720"/>
      <w:contextualSpacing w:val="1"/>
    </w:pPr>
  </w:style>
  <w:style w:type="table" w:styleId="Grigliatabella">
    <w:name w:val="Table Grid"/>
    <w:basedOn w:val="Tabellanormale"/>
    <w:uiPriority w:val="39"/>
    <w:rsid w:val="00E96CD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Collegamentoipertestuale">
    <w:name w:val="Hyperlink"/>
    <w:basedOn w:val="Carpredefinitoparagrafo"/>
    <w:uiPriority w:val="99"/>
    <w:unhideWhenUsed w:val="1"/>
    <w:rsid w:val="001C523D"/>
    <w:rPr>
      <w:color w:val="16c45b" w:themeColor="hyperlink"/>
      <w:u w:val="single"/>
    </w:rPr>
  </w:style>
  <w:style w:type="paragraph" w:styleId="Sommario1">
    <w:name w:val="toc 1"/>
    <w:basedOn w:val="Normale"/>
    <w:next w:val="Normale"/>
    <w:autoRedefine w:val="1"/>
    <w:uiPriority w:val="39"/>
    <w:unhideWhenUsed w:val="1"/>
    <w:rsid w:val="00986B82"/>
    <w:pPr>
      <w:spacing w:after="100"/>
    </w:pPr>
    <w:rPr>
      <w:rFonts w:asciiTheme="minorHAnsi" w:hAnsiTheme="minorHAnsi"/>
      <w:b w:val="1"/>
      <w:color w:val="16c45b" w:themeColor="accent6"/>
      <w:sz w:val="36"/>
    </w:rPr>
  </w:style>
  <w:style w:type="paragraph" w:styleId="Sommario2">
    <w:name w:val="toc 2"/>
    <w:basedOn w:val="Normale"/>
    <w:next w:val="Normale"/>
    <w:autoRedefine w:val="1"/>
    <w:uiPriority w:val="39"/>
    <w:unhideWhenUsed w:val="1"/>
    <w:rsid w:val="00CA7C55"/>
    <w:pPr>
      <w:spacing w:after="100"/>
      <w:ind w:left="220"/>
    </w:pPr>
    <w:rPr>
      <w:rFonts w:asciiTheme="minorHAnsi" w:hAnsiTheme="minorHAnsi"/>
      <w:b w:val="1"/>
      <w:color w:val="16c45b" w:themeColor="accent3"/>
      <w:sz w:val="28"/>
    </w:rPr>
  </w:style>
  <w:style w:type="paragraph" w:styleId="Sommario3">
    <w:name w:val="toc 3"/>
    <w:basedOn w:val="Normale"/>
    <w:next w:val="Normale"/>
    <w:autoRedefine w:val="1"/>
    <w:uiPriority w:val="39"/>
    <w:unhideWhenUsed w:val="1"/>
    <w:rsid w:val="00CA7C55"/>
    <w:pPr>
      <w:spacing w:after="100"/>
      <w:ind w:left="440"/>
    </w:pPr>
    <w:rPr>
      <w:rFonts w:asciiTheme="minorHAnsi" w:hAnsiTheme="minorHAnsi"/>
      <w:b w:val="1"/>
      <w:i w:val="1"/>
      <w:color w:val="1d1d1b" w:themeColor="accent2"/>
      <w:sz w:val="26"/>
    </w:rPr>
  </w:style>
  <w:style w:type="paragraph" w:styleId="NormaleWeb">
    <w:name w:val="Normal (Web)"/>
    <w:basedOn w:val="Normale"/>
    <w:uiPriority w:val="99"/>
    <w:unhideWhenUsed w:val="1"/>
    <w:rsid w:val="007F6B3C"/>
    <w:pPr>
      <w:spacing w:after="100" w:afterAutospacing="1" w:before="100" w:beforeAutospacing="1" w:line="240" w:lineRule="auto"/>
    </w:pPr>
    <w:rPr>
      <w:rFonts w:ascii="Times New Roman" w:cs="Times New Roman" w:hAnsi="Times New Roman" w:eastAsiaTheme="minorEastAsia"/>
      <w:sz w:val="24"/>
      <w:szCs w:val="24"/>
    </w:rPr>
  </w:style>
  <w:style w:type="character" w:styleId="Titolo5Carattere" w:customStyle="1">
    <w:name w:val="Titolo 5 Carattere"/>
    <w:basedOn w:val="Carpredefinitoparagrafo"/>
    <w:link w:val="Titolo5"/>
    <w:uiPriority w:val="9"/>
    <w:rsid w:val="00986B82"/>
    <w:rPr>
      <w:rFonts w:ascii="Calibri" w:hAnsi="Calibri" w:cstheme="majorBidi" w:eastAsiaTheme="majorEastAsia"/>
      <w:color w:val="16c45b" w:themeColor="accent6"/>
    </w:rPr>
  </w:style>
  <w:style w:type="paragraph" w:styleId="Sommario4">
    <w:name w:val="toc 4"/>
    <w:basedOn w:val="Normale"/>
    <w:next w:val="Normale"/>
    <w:autoRedefine w:val="1"/>
    <w:uiPriority w:val="39"/>
    <w:semiHidden w:val="1"/>
    <w:unhideWhenUsed w:val="1"/>
    <w:rsid w:val="00CA7C55"/>
    <w:pPr>
      <w:spacing w:after="100"/>
      <w:ind w:left="660"/>
    </w:pPr>
    <w:rPr>
      <w:rFonts w:asciiTheme="minorHAnsi" w:hAnsiTheme="minorHAnsi"/>
      <w:b w:val="1"/>
      <w:i w:val="1"/>
      <w:color w:val="2b454e" w:themeColor="accent4"/>
      <w:sz w:val="24"/>
    </w:rPr>
  </w:style>
  <w:style w:type="paragraph" w:styleId="Sommario5">
    <w:name w:val="toc 5"/>
    <w:basedOn w:val="Normale"/>
    <w:next w:val="Normale"/>
    <w:autoRedefine w:val="1"/>
    <w:uiPriority w:val="39"/>
    <w:semiHidden w:val="1"/>
    <w:unhideWhenUsed w:val="1"/>
    <w:rsid w:val="00CA7C55"/>
    <w:pPr>
      <w:spacing w:after="100"/>
      <w:ind w:left="880"/>
    </w:pPr>
    <w:rPr>
      <w:rFonts w:asciiTheme="minorHAnsi" w:hAnsiTheme="minorHAnsi"/>
      <w:color w:val="16c45b" w:themeColor="accent6"/>
    </w:rPr>
  </w:style>
  <w:style w:type="paragraph" w:styleId="Nessunaspaziatura">
    <w:name w:val="No Spacing"/>
    <w:uiPriority w:val="1"/>
    <w:qFormat w:val="1"/>
    <w:rsid w:val="00BF096B"/>
    <w:pPr>
      <w:spacing w:after="0" w:line="240" w:lineRule="auto"/>
    </w:pPr>
    <w:rPr>
      <w:color w:val="1d1d1b" w:themeColor="text1"/>
    </w:rPr>
  </w:style>
  <w:style w:type="table" w:styleId="Tabellagriglia1chiara-colore6">
    <w:name w:val="Grid Table 1 Light Accent 6"/>
    <w:basedOn w:val="Tabellanormale"/>
    <w:uiPriority w:val="46"/>
    <w:rsid w:val="00A510EA"/>
    <w:pPr>
      <w:spacing w:after="0" w:line="240" w:lineRule="auto"/>
    </w:pPr>
    <w:tblPr>
      <w:tblStyleRowBandSize w:val="1"/>
      <w:tblStyleColBandSize w:val="1"/>
      <w:tblBorders>
        <w:top w:color="95f3ba" w:space="0" w:sz="4" w:themeColor="accent6" w:themeTint="000066" w:val="single"/>
        <w:left w:color="95f3ba" w:space="0" w:sz="4" w:themeColor="accent6" w:themeTint="000066" w:val="single"/>
        <w:bottom w:color="95f3ba" w:space="0" w:sz="4" w:themeColor="accent6" w:themeTint="000066" w:val="single"/>
        <w:right w:color="95f3ba" w:space="0" w:sz="4" w:themeColor="accent6" w:themeTint="000066" w:val="single"/>
        <w:insideH w:color="95f3ba" w:space="0" w:sz="4" w:themeColor="accent6" w:themeTint="000066" w:val="single"/>
        <w:insideV w:color="95f3ba" w:space="0" w:sz="4" w:themeColor="accent6" w:themeTint="000066" w:val="single"/>
      </w:tblBorders>
    </w:tblPr>
    <w:tblStylePr w:type="firstRow">
      <w:rPr>
        <w:b w:val="1"/>
        <w:bCs w:val="1"/>
      </w:rPr>
      <w:tblPr/>
      <w:tcPr>
        <w:tcBorders>
          <w:bottom w:color="61ed98" w:space="0" w:sz="12" w:themeColor="accent6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61ed98" w:space="0" w:sz="2" w:themeColor="accent6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Tabellagriglia5scura-colore6">
    <w:name w:val="Grid Table 5 Dark Accent 6"/>
    <w:basedOn w:val="Tabellanormale"/>
    <w:uiPriority w:val="50"/>
    <w:rsid w:val="00A510EA"/>
    <w:pPr>
      <w:spacing w:after="0" w:line="240" w:lineRule="auto"/>
    </w:pPr>
    <w:tblPr>
      <w:tblStyleRowBandSize w:val="1"/>
      <w:tblStyleColBandSize w:val="1"/>
      <w:tblBorders>
        <w:top w:color="d1d1d1" w:space="0" w:sz="4" w:themeColor="background1" w:val="single"/>
        <w:left w:color="d1d1d1" w:space="0" w:sz="4" w:themeColor="background1" w:val="single"/>
        <w:bottom w:color="d1d1d1" w:space="0" w:sz="4" w:themeColor="background1" w:val="single"/>
        <w:right w:color="d1d1d1" w:space="0" w:sz="4" w:themeColor="background1" w:val="single"/>
        <w:insideH w:color="d1d1d1" w:space="0" w:sz="4" w:themeColor="background1" w:val="single"/>
        <w:insideV w:color="d1d1d1" w:space="0" w:sz="4" w:themeColor="background1" w:val="single"/>
      </w:tblBorders>
    </w:tblPr>
    <w:tcPr>
      <w:shd w:color="auto" w:fill="caf9dc" w:themeFill="accent6" w:themeFillTint="000033" w:val="clear"/>
    </w:tcPr>
    <w:tblStylePr w:type="firstRow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left w:color="d1d1d1" w:space="0" w:sz="4" w:themeColor="background1" w:val="single"/>
          <w:right w:color="d1d1d1" w:space="0" w:sz="4" w:themeColor="background1" w:val="single"/>
          <w:insideH w:space="0" w:sz="0" w:val="nil"/>
          <w:insideV w:space="0" w:sz="0" w:val="nil"/>
        </w:tcBorders>
        <w:shd w:color="auto" w:fill="16c45b" w:themeFill="accent6" w:val="clear"/>
      </w:tcPr>
    </w:tblStylePr>
    <w:tblStylePr w:type="lastRow">
      <w:rPr>
        <w:b w:val="1"/>
        <w:bCs w:val="1"/>
        <w:color w:val="d1d1d1" w:themeColor="background1"/>
      </w:rPr>
      <w:tblPr/>
      <w:tcPr>
        <w:tcBorders>
          <w:left w:color="d1d1d1" w:space="0" w:sz="4" w:themeColor="background1" w:val="single"/>
          <w:bottom w:color="d1d1d1" w:space="0" w:sz="4" w:themeColor="background1" w:val="single"/>
          <w:right w:color="d1d1d1" w:space="0" w:sz="4" w:themeColor="background1" w:val="single"/>
          <w:insideH w:space="0" w:sz="0" w:val="nil"/>
          <w:insideV w:space="0" w:sz="0" w:val="nil"/>
        </w:tcBorders>
        <w:shd w:color="auto" w:fill="16c45b" w:themeFill="accent6" w:val="clear"/>
      </w:tcPr>
    </w:tblStylePr>
    <w:tblStylePr w:type="firstCol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left w:color="d1d1d1" w:space="0" w:sz="4" w:themeColor="background1" w:val="single"/>
          <w:bottom w:color="d1d1d1" w:space="0" w:sz="4" w:themeColor="background1" w:val="single"/>
          <w:insideV w:space="0" w:sz="0" w:val="nil"/>
        </w:tcBorders>
        <w:shd w:color="auto" w:fill="16c45b" w:themeFill="accent6" w:val="clear"/>
      </w:tcPr>
    </w:tblStylePr>
    <w:tblStylePr w:type="lastCol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bottom w:color="d1d1d1" w:space="0" w:sz="4" w:themeColor="background1" w:val="single"/>
          <w:right w:color="d1d1d1" w:space="0" w:sz="4" w:themeColor="background1" w:val="single"/>
          <w:insideV w:space="0" w:sz="0" w:val="nil"/>
        </w:tcBorders>
        <w:shd w:color="auto" w:fill="16c45b" w:themeFill="accent6" w:val="clear"/>
      </w:tcPr>
    </w:tblStylePr>
    <w:tblStylePr w:type="band1Vert">
      <w:tblPr/>
      <w:tcPr>
        <w:shd w:color="auto" w:fill="95f3ba" w:themeFill="accent6" w:themeFillTint="000066" w:val="clear"/>
      </w:tcPr>
    </w:tblStylePr>
    <w:tblStylePr w:type="band1Horz">
      <w:tblPr/>
      <w:tcPr>
        <w:shd w:color="auto" w:fill="95f3ba" w:themeFill="accent6" w:themeFillTint="000066" w:val="clear"/>
      </w:tcPr>
    </w:tblStylePr>
  </w:style>
  <w:style w:type="character" w:styleId="Titolo6Carattere" w:customStyle="1">
    <w:name w:val="Titolo 6 Carattere"/>
    <w:basedOn w:val="Carpredefinitoparagrafo"/>
    <w:link w:val="Titolo6"/>
    <w:uiPriority w:val="9"/>
    <w:semiHidden w:val="1"/>
    <w:rsid w:val="00BF096B"/>
    <w:rPr>
      <w:rFonts w:ascii="Calibri" w:hAnsi="Calibri" w:cstheme="majorBidi" w:eastAsiaTheme="majorEastAsia"/>
      <w:color w:val="0b612d" w:themeColor="accent1" w:themeShade="00007F"/>
    </w:rPr>
  </w:style>
  <w:style w:type="table" w:styleId="Tabellagriglia4-colore1">
    <w:name w:val="Grid Table 4 Accent 1"/>
    <w:basedOn w:val="Tabellanormale"/>
    <w:uiPriority w:val="49"/>
    <w:rsid w:val="001C0AB3"/>
    <w:pPr>
      <w:spacing w:after="0" w:line="240" w:lineRule="auto"/>
    </w:pPr>
    <w:tblPr>
      <w:tblStyleRowBandSize w:val="1"/>
      <w:tblStyleColBandSize w:val="1"/>
      <w:tblBorders>
        <w:top w:color="61ed98" w:space="0" w:sz="4" w:themeColor="accent1" w:themeTint="000099" w:val="single"/>
        <w:left w:color="61ed98" w:space="0" w:sz="4" w:themeColor="accent1" w:themeTint="000099" w:val="single"/>
        <w:bottom w:color="61ed98" w:space="0" w:sz="4" w:themeColor="accent1" w:themeTint="000099" w:val="single"/>
        <w:right w:color="61ed98" w:space="0" w:sz="4" w:themeColor="accent1" w:themeTint="000099" w:val="single"/>
        <w:insideH w:color="61ed98" w:space="0" w:sz="4" w:themeColor="accent1" w:themeTint="000099" w:val="single"/>
        <w:insideV w:color="61ed98" w:space="0" w:sz="4" w:themeColor="accent1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6c45b" w:space="0" w:sz="4" w:themeColor="accent1" w:val="single"/>
          <w:left w:color="16c45b" w:space="0" w:sz="4" w:themeColor="accent1" w:val="single"/>
          <w:bottom w:color="16c45b" w:space="0" w:sz="4" w:themeColor="accent1" w:val="single"/>
          <w:right w:color="16c45b" w:space="0" w:sz="4" w:themeColor="accent1" w:val="single"/>
          <w:insideH w:space="0" w:sz="0" w:val="nil"/>
          <w:insideV w:space="0" w:sz="0" w:val="nil"/>
        </w:tcBorders>
        <w:shd w:color="auto" w:fill="16c45b" w:themeFill="accent1" w:val="clear"/>
      </w:tcPr>
    </w:tblStylePr>
    <w:tblStylePr w:type="lastRow">
      <w:rPr>
        <w:b w:val="1"/>
        <w:bCs w:val="1"/>
      </w:rPr>
      <w:tblPr/>
      <w:tcPr>
        <w:tcBorders>
          <w:top w:color="16c45b" w:space="0" w:sz="4" w:themeColor="accen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af9dc" w:themeFill="accent1" w:themeFillTint="000033" w:val="clear"/>
      </w:tcPr>
    </w:tblStylePr>
    <w:tblStylePr w:type="band1Horz">
      <w:tblPr/>
      <w:tcPr>
        <w:shd w:color="auto" w:fill="caf9dc" w:themeFill="accent1" w:themeFillTint="000033" w:val="clear"/>
      </w:tcPr>
    </w:tblStylePr>
  </w:style>
  <w:style w:type="character" w:styleId="Collegamentovisitato">
    <w:name w:val="FollowedHyperlink"/>
    <w:basedOn w:val="Carpredefinitoparagrafo"/>
    <w:uiPriority w:val="99"/>
    <w:semiHidden w:val="1"/>
    <w:unhideWhenUsed w:val="1"/>
    <w:rsid w:val="00405D90"/>
    <w:rPr>
      <w:color w:val="16c45b" w:themeColor="followedHyperlink"/>
      <w:u w:val="single"/>
    </w:rPr>
  </w:style>
  <w:style w:type="paragraph" w:styleId="Style1" w:customStyle="1">
    <w:name w:val="Style1"/>
    <w:basedOn w:val="Normale"/>
    <w:qFormat w:val="1"/>
    <w:rsid w:val="001C523D"/>
    <w:pPr>
      <w:jc w:val="right"/>
    </w:pPr>
    <w:rPr>
      <w:color w:val="16c45b" w:themeColor="accent3"/>
    </w:rPr>
  </w:style>
  <w:style w:type="character" w:styleId="UnresolvedMention1" w:customStyle="1">
    <w:name w:val="Unresolved Mention1"/>
    <w:basedOn w:val="Carpredefinitoparagrafo"/>
    <w:uiPriority w:val="99"/>
    <w:semiHidden w:val="1"/>
    <w:unhideWhenUsed w:val="1"/>
    <w:rsid w:val="001C523D"/>
    <w:rPr>
      <w:color w:val="605e5c"/>
      <w:shd w:color="auto" w:fill="e1dfdd" w:val="clear"/>
    </w:rPr>
  </w:style>
  <w:style w:type="table" w:styleId="Tabellagriglia4-colore2">
    <w:name w:val="Grid Table 4 Accent 2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7a7a72" w:space="0" w:sz="4" w:themeColor="accent2" w:themeTint="000099" w:val="single"/>
        <w:left w:color="7a7a72" w:space="0" w:sz="4" w:themeColor="accent2" w:themeTint="000099" w:val="single"/>
        <w:bottom w:color="7a7a72" w:space="0" w:sz="4" w:themeColor="accent2" w:themeTint="000099" w:val="single"/>
        <w:right w:color="7a7a72" w:space="0" w:sz="4" w:themeColor="accent2" w:themeTint="000099" w:val="single"/>
        <w:insideH w:color="7a7a72" w:space="0" w:sz="4" w:themeColor="accent2" w:themeTint="000099" w:val="single"/>
        <w:insideV w:color="7a7a72" w:space="0" w:sz="4" w:themeColor="accent2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d1d1b" w:space="0" w:sz="4" w:themeColor="accent2" w:val="single"/>
          <w:left w:color="1d1d1b" w:space="0" w:sz="4" w:themeColor="accent2" w:val="single"/>
          <w:bottom w:color="1d1d1b" w:space="0" w:sz="4" w:themeColor="accent2" w:val="single"/>
          <w:right w:color="1d1d1b" w:space="0" w:sz="4" w:themeColor="accent2" w:val="single"/>
          <w:insideH w:space="0" w:sz="0" w:val="nil"/>
          <w:insideV w:space="0" w:sz="0" w:val="nil"/>
        </w:tcBorders>
        <w:shd w:color="auto" w:fill="1d1d1b" w:themeFill="accent2" w:val="clear"/>
      </w:tcPr>
    </w:tblStylePr>
    <w:tblStylePr w:type="lastRow">
      <w:rPr>
        <w:b w:val="1"/>
        <w:bCs w:val="1"/>
      </w:rPr>
      <w:tblPr/>
      <w:tcPr>
        <w:tcBorders>
          <w:top w:color="1d1d1b" w:space="0" w:sz="4" w:themeColor="accent2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3d3cf" w:themeFill="accent2" w:themeFillTint="000033" w:val="clear"/>
      </w:tcPr>
    </w:tblStylePr>
    <w:tblStylePr w:type="band1Horz">
      <w:tblPr/>
      <w:tcPr>
        <w:shd w:color="auto" w:fill="d3d3cf" w:themeFill="accent2" w:themeFillTint="000033" w:val="clear"/>
      </w:tcPr>
    </w:tblStylePr>
  </w:style>
  <w:style w:type="table" w:styleId="Tabellagriglia4-colore4">
    <w:name w:val="Grid Table 4 Accent 4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689aac" w:space="0" w:sz="4" w:themeColor="accent4" w:themeTint="000099" w:val="single"/>
        <w:left w:color="689aac" w:space="0" w:sz="4" w:themeColor="accent4" w:themeTint="000099" w:val="single"/>
        <w:bottom w:color="689aac" w:space="0" w:sz="4" w:themeColor="accent4" w:themeTint="000099" w:val="single"/>
        <w:right w:color="689aac" w:space="0" w:sz="4" w:themeColor="accent4" w:themeTint="000099" w:val="single"/>
        <w:insideH w:color="689aac" w:space="0" w:sz="4" w:themeColor="accent4" w:themeTint="000099" w:val="single"/>
        <w:insideV w:color="689aac" w:space="0" w:sz="4" w:themeColor="accent4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2b454e" w:space="0" w:sz="4" w:themeColor="accent4" w:val="single"/>
          <w:left w:color="2b454e" w:space="0" w:sz="4" w:themeColor="accent4" w:val="single"/>
          <w:bottom w:color="2b454e" w:space="0" w:sz="4" w:themeColor="accent4" w:val="single"/>
          <w:right w:color="2b454e" w:space="0" w:sz="4" w:themeColor="accent4" w:val="single"/>
          <w:insideH w:space="0" w:sz="0" w:val="nil"/>
          <w:insideV w:space="0" w:sz="0" w:val="nil"/>
        </w:tcBorders>
        <w:shd w:color="auto" w:fill="2b454e" w:themeFill="accent4" w:val="clear"/>
      </w:tcPr>
    </w:tblStylePr>
    <w:tblStylePr w:type="lastRow">
      <w:rPr>
        <w:b w:val="1"/>
        <w:bCs w:val="1"/>
      </w:rPr>
      <w:tblPr/>
      <w:tcPr>
        <w:tcBorders>
          <w:top w:color="2b454e" w:space="0" w:sz="4" w:themeColor="accent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dde3" w:themeFill="accent4" w:themeFillTint="000033" w:val="clear"/>
      </w:tcPr>
    </w:tblStylePr>
    <w:tblStylePr w:type="band1Horz">
      <w:tblPr/>
      <w:tcPr>
        <w:shd w:color="auto" w:fill="ccdde3" w:themeFill="accent4" w:themeFillTint="000033" w:val="clear"/>
      </w:tcPr>
    </w:tblStylePr>
  </w:style>
  <w:style w:type="table" w:styleId="Tabellagriglia4-colore3">
    <w:name w:val="Grid Table 4 Accent 3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61ed98" w:space="0" w:sz="4" w:themeColor="accent3" w:themeTint="000099" w:val="single"/>
        <w:left w:color="61ed98" w:space="0" w:sz="4" w:themeColor="accent3" w:themeTint="000099" w:val="single"/>
        <w:bottom w:color="61ed98" w:space="0" w:sz="4" w:themeColor="accent3" w:themeTint="000099" w:val="single"/>
        <w:right w:color="61ed98" w:space="0" w:sz="4" w:themeColor="accent3" w:themeTint="000099" w:val="single"/>
        <w:insideH w:color="61ed98" w:space="0" w:sz="4" w:themeColor="accent3" w:themeTint="000099" w:val="single"/>
        <w:insideV w:color="61ed98" w:space="0" w:sz="4" w:themeColor="accent3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6c45b" w:space="0" w:sz="4" w:themeColor="accent3" w:val="single"/>
          <w:left w:color="16c45b" w:space="0" w:sz="4" w:themeColor="accent3" w:val="single"/>
          <w:bottom w:color="16c45b" w:space="0" w:sz="4" w:themeColor="accent3" w:val="single"/>
          <w:right w:color="16c45b" w:space="0" w:sz="4" w:themeColor="accent3" w:val="single"/>
          <w:insideH w:space="0" w:sz="0" w:val="nil"/>
          <w:insideV w:space="0" w:sz="0" w:val="nil"/>
        </w:tcBorders>
        <w:shd w:color="auto" w:fill="16c45b" w:themeFill="accent3" w:val="clear"/>
      </w:tcPr>
    </w:tblStylePr>
    <w:tblStylePr w:type="lastRow">
      <w:rPr>
        <w:b w:val="1"/>
        <w:bCs w:val="1"/>
      </w:rPr>
      <w:tblPr/>
      <w:tcPr>
        <w:tcBorders>
          <w:top w:color="16c45b" w:space="0" w:sz="4" w:themeColor="accent3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af9dc" w:themeFill="accent3" w:themeFillTint="000033" w:val="clear"/>
      </w:tcPr>
    </w:tblStylePr>
    <w:tblStylePr w:type="band1Horz">
      <w:tblPr/>
      <w:tcPr>
        <w:shd w:color="auto" w:fill="caf9dc" w:themeFill="accent3" w:themeFillTint="000033" w:val="clear"/>
      </w:tcPr>
    </w:tblStylePr>
  </w:style>
  <w:style w:type="paragraph" w:styleId="Titolosommario">
    <w:name w:val="TOC Heading"/>
    <w:basedOn w:val="Titolo1"/>
    <w:next w:val="Normale"/>
    <w:uiPriority w:val="39"/>
    <w:unhideWhenUsed w:val="1"/>
    <w:qFormat w:val="1"/>
    <w:rsid w:val="00BB3C31"/>
    <w:pPr>
      <w:keepNext w:val="1"/>
      <w:keepLines w:val="1"/>
      <w:spacing w:after="0" w:before="240"/>
      <w:outlineLvl w:val="9"/>
    </w:pPr>
    <w:rPr>
      <w:rFonts w:asciiTheme="majorHAnsi" w:cstheme="majorBidi" w:eastAsiaTheme="majorEastAsia" w:hAnsiTheme="majorHAnsi"/>
      <w:b w:val="0"/>
      <w:color w:val="109243" w:themeColor="accent1" w:themeShade="0000BF"/>
      <w:sz w:val="32"/>
      <w:szCs w:val="32"/>
    </w:rPr>
  </w:style>
  <w:style w:type="table" w:styleId="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0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1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2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3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4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5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6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7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8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9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b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c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d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e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0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1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2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3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4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5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6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7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8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9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b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c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d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e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0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1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2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3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4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5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6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7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8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9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docs.google.com/document/d/1zNMqd6_qOAfmVsnlafNurMduZN_sNaUV/edit" TargetMode="External"/><Relationship Id="rId10" Type="http://schemas.openxmlformats.org/officeDocument/2006/relationships/image" Target="media/image1.jpg"/><Relationship Id="rId13" Type="http://schemas.openxmlformats.org/officeDocument/2006/relationships/hyperlink" Target="https://docs.google.com/document/d/1QuATDYHaEbITXAD97Eidw_p3lQxzrt4c/edit" TargetMode="External"/><Relationship Id="rId12" Type="http://schemas.openxmlformats.org/officeDocument/2006/relationships/hyperlink" Target="https://docs.google.com/document/d/1QuATDYHaEbITXAD97Eidw_p3lQxzrt4c/edit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png"/><Relationship Id="rId15" Type="http://schemas.openxmlformats.org/officeDocument/2006/relationships/footer" Target="footer1.xml"/><Relationship Id="rId14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jpg"/><Relationship Id="rId8" Type="http://schemas.openxmlformats.org/officeDocument/2006/relationships/image" Target="media/image3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TINKER">
      <a:dk1>
        <a:srgbClr val="1D1D1B"/>
      </a:dk1>
      <a:lt1>
        <a:srgbClr val="D1D1D1"/>
      </a:lt1>
      <a:dk2>
        <a:srgbClr val="1D1D1B"/>
      </a:dk2>
      <a:lt2>
        <a:srgbClr val="F2F2F2"/>
      </a:lt2>
      <a:accent1>
        <a:srgbClr val="16C45B"/>
      </a:accent1>
      <a:accent2>
        <a:srgbClr val="1D1D1B"/>
      </a:accent2>
      <a:accent3>
        <a:srgbClr val="16C45B"/>
      </a:accent3>
      <a:accent4>
        <a:srgbClr val="2B454E"/>
      </a:accent4>
      <a:accent5>
        <a:srgbClr val="C36358"/>
      </a:accent5>
      <a:accent6>
        <a:srgbClr val="16C45B"/>
      </a:accent6>
      <a:hlink>
        <a:srgbClr val="16C45B"/>
      </a:hlink>
      <a:folHlink>
        <a:srgbClr val="16C45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JkaAUv3XwIRlIKBqMmnoBBYXJA==">CgMxLjAyDmgud2YzdWc5anUwczNnMg5oLnZwcW43ZXpnYmN4ejIOaC5kbHFiemVucTM4YTgyDmgubW5qOHF1NG92Z3g2Mg5oLnBhaTN6dnZvNHFheDgAciExaWRqemRuUTNKZjZRc1JEeHoySWhMcWxrRnZmbHJzZXc=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2024-11-19T18:10:00Z</dcterms:created>
  <dc:creator>Helen</dc:creator>
</cp:coreProperties>
</file>